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A7" w:rsidRDefault="00062EA7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感应耦合等离子刻蚀机</w:t>
      </w:r>
    </w:p>
    <w:p w:rsidR="003E625F" w:rsidRDefault="00062EA7" w:rsidP="003E625F">
      <w:pPr>
        <w:rPr>
          <w:rFonts w:hint="eastAsia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14"/>
          <w:szCs w:val="14"/>
        </w:rPr>
        <w:drawing>
          <wp:inline distT="0" distB="0" distL="0" distR="0">
            <wp:extent cx="3745230" cy="3028315"/>
            <wp:effectExtent l="19050" t="0" r="7620" b="0"/>
            <wp:docPr id="6" name="图片 4" descr="C:\Users\lenovo\Desktop\c11fdbd27cc38aa7e00bbe7a0ae_51be0a3a_3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c11fdbd27cc38aa7e00bbe7a0ae_51be0a3a_357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062EA7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该设备是一个灵活和功能强大的等离子体刻蚀和淀积工艺设备。 采用真空进样室进样可进行快速的晶片更换、采用多种工艺气体并扩大了允许的温度范围。具有最大的工艺灵活性，适用于化合物半导体，光电子学，光子学，微机电系统和微流体技术。</w:t>
      </w:r>
    </w:p>
    <w:p w:rsidR="00062EA7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Pr="007F2EC9" w:rsidRDefault="00062EA7" w:rsidP="007F2EC9">
      <w:r>
        <w:rPr>
          <w:rFonts w:ascii="微软雅黑" w:eastAsia="微软雅黑" w:hAnsi="微软雅黑" w:hint="eastAsia"/>
          <w:color w:val="333333"/>
          <w:sz w:val="14"/>
          <w:szCs w:val="14"/>
        </w:rPr>
        <w:t>可处理2 "晶片</w:t>
      </w:r>
    </w:p>
    <w:sectPr w:rsidR="003E625F" w:rsidRPr="007F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3E625F"/>
    <w:rsid w:val="007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2021-06-09T08:13:00Z</dcterms:created>
  <dcterms:modified xsi:type="dcterms:W3CDTF">2021-06-09T08:13:00Z</dcterms:modified>
</cp:coreProperties>
</file>